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color w:val="2b6fab"/>
          <w:sz w:val="36"/>
          <w:szCs w:val="36"/>
        </w:rPr>
      </w:pPr>
      <w:r w:rsidDel="00000000" w:rsidR="00000000" w:rsidRPr="00000000">
        <w:rPr>
          <w:color w:val="2b6fab"/>
          <w:sz w:val="36"/>
          <w:szCs w:val="36"/>
          <w:rtl w:val="0"/>
        </w:rPr>
        <w:t xml:space="preserve">UNEP Emissions Gap Report 2025</w:t>
      </w:r>
    </w:p>
    <w:p w:rsidR="00000000" w:rsidDel="00000000" w:rsidP="00000000" w:rsidRDefault="00000000" w:rsidRPr="00000000" w14:paraId="00000002">
      <w:pPr>
        <w:spacing w:after="240" w:before="240" w:lineRule="auto"/>
        <w:jc w:val="center"/>
        <w:rPr>
          <w:color w:val="2b6fab"/>
          <w:sz w:val="26"/>
          <w:szCs w:val="26"/>
        </w:rPr>
      </w:pPr>
      <w:r w:rsidDel="00000000" w:rsidR="00000000" w:rsidRPr="00000000">
        <w:rPr>
          <w:color w:val="2b6fab"/>
          <w:sz w:val="26"/>
          <w:szCs w:val="26"/>
          <w:rtl w:val="0"/>
        </w:rPr>
        <w:t xml:space="preserve">Chapter 2 Global Emissions Trends - Technical Appendix</w:t>
      </w:r>
    </w:p>
    <w:p w:rsidR="00000000" w:rsidDel="00000000" w:rsidP="00000000" w:rsidRDefault="00000000" w:rsidRPr="00000000" w14:paraId="00000003">
      <w:pPr>
        <w:spacing w:after="240" w:before="240" w:lineRule="auto"/>
        <w:rPr>
          <w:b w:val="1"/>
          <w:color w:val="2b6fab"/>
        </w:rPr>
      </w:pPr>
      <w:r w:rsidDel="00000000" w:rsidR="00000000" w:rsidRPr="00000000">
        <w:rPr>
          <w:b w:val="1"/>
          <w:color w:val="2b6fab"/>
          <w:rtl w:val="0"/>
        </w:rPr>
        <w:t xml:space="preserve"> </w:t>
      </w:r>
    </w:p>
    <w:p w:rsidR="00000000" w:rsidDel="00000000" w:rsidP="00000000" w:rsidRDefault="00000000" w:rsidRPr="00000000" w14:paraId="00000004">
      <w:pPr>
        <w:spacing w:after="240" w:before="240" w:lineRule="auto"/>
        <w:rPr>
          <w:vertAlign w:val="superscript"/>
        </w:rPr>
      </w:pPr>
      <w:r w:rsidDel="00000000" w:rsidR="00000000" w:rsidRPr="00000000">
        <w:rPr>
          <w:b w:val="1"/>
          <w:color w:val="2b6fab"/>
          <w:rtl w:val="0"/>
        </w:rPr>
        <w:t xml:space="preserve">Lead Authors</w:t>
      </w:r>
      <w:r w:rsidDel="00000000" w:rsidR="00000000" w:rsidRPr="00000000">
        <w:rPr>
          <w:rtl w:val="0"/>
        </w:rPr>
        <w:t xml:space="preserve">: William F. Lamb</w:t>
      </w:r>
      <w:r w:rsidDel="00000000" w:rsidR="00000000" w:rsidRPr="00000000">
        <w:rPr>
          <w:vertAlign w:val="superscript"/>
          <w:rtl w:val="0"/>
        </w:rPr>
        <w:t xml:space="preserve">1,2</w:t>
      </w:r>
      <w:r w:rsidDel="00000000" w:rsidR="00000000" w:rsidRPr="00000000">
        <w:rPr>
          <w:rtl w:val="0"/>
        </w:rPr>
        <w:t xml:space="preserve">, Minal Pathak</w:t>
      </w:r>
      <w:r w:rsidDel="00000000" w:rsidR="00000000" w:rsidRPr="00000000">
        <w:rPr>
          <w:vertAlign w:val="superscript"/>
          <w:rtl w:val="0"/>
        </w:rPr>
        <w:t xml:space="preserve">3</w:t>
      </w:r>
    </w:p>
    <w:p w:rsidR="00000000" w:rsidDel="00000000" w:rsidP="00000000" w:rsidRDefault="00000000" w:rsidRPr="00000000" w14:paraId="00000005">
      <w:pPr>
        <w:spacing w:after="120" w:before="120" w:lineRule="auto"/>
        <w:rPr>
          <w:sz w:val="20"/>
          <w:szCs w:val="20"/>
        </w:rPr>
      </w:pPr>
      <w:r w:rsidDel="00000000" w:rsidR="00000000" w:rsidRPr="00000000">
        <w:rPr>
          <w:sz w:val="20"/>
          <w:szCs w:val="20"/>
          <w:rtl w:val="0"/>
        </w:rPr>
        <w:t xml:space="preserve">1 Potsdam Institute for Climate Impact Research (PIK), Member of the Leibniz Association, Potsdam, Germany </w:t>
      </w:r>
    </w:p>
    <w:p w:rsidR="00000000" w:rsidDel="00000000" w:rsidP="00000000" w:rsidRDefault="00000000" w:rsidRPr="00000000" w14:paraId="00000006">
      <w:pPr>
        <w:spacing w:after="120" w:before="120" w:lineRule="auto"/>
        <w:rPr>
          <w:sz w:val="20"/>
          <w:szCs w:val="20"/>
        </w:rPr>
      </w:pPr>
      <w:r w:rsidDel="00000000" w:rsidR="00000000" w:rsidRPr="00000000">
        <w:rPr>
          <w:sz w:val="20"/>
          <w:szCs w:val="20"/>
          <w:rtl w:val="0"/>
        </w:rPr>
        <w:t xml:space="preserve">2 Priestley Centre for Climate Futures, University of Leeds, United Kingdom</w:t>
      </w:r>
    </w:p>
    <w:p w:rsidR="00000000" w:rsidDel="00000000" w:rsidP="00000000" w:rsidRDefault="00000000" w:rsidRPr="00000000" w14:paraId="00000007">
      <w:pPr>
        <w:spacing w:after="120" w:before="120" w:lineRule="auto"/>
        <w:rPr>
          <w:sz w:val="20"/>
          <w:szCs w:val="20"/>
        </w:rPr>
      </w:pPr>
      <w:r w:rsidDel="00000000" w:rsidR="00000000" w:rsidRPr="00000000">
        <w:rPr>
          <w:sz w:val="20"/>
          <w:szCs w:val="20"/>
          <w:rtl w:val="0"/>
        </w:rPr>
        <w:t xml:space="preserve">3 Ahmedabad University, India</w:t>
      </w:r>
    </w:p>
    <w:p w:rsidR="00000000" w:rsidDel="00000000" w:rsidP="00000000" w:rsidRDefault="00000000" w:rsidRPr="00000000" w14:paraId="00000008">
      <w:pPr>
        <w:rPr>
          <w:color w:val="2e75b5"/>
          <w:sz w:val="24"/>
          <w:szCs w:val="24"/>
        </w:rPr>
      </w:pPr>
      <w:r w:rsidDel="00000000" w:rsidR="00000000" w:rsidRPr="00000000">
        <w:rPr>
          <w:rtl w:val="0"/>
        </w:rPr>
      </w:r>
    </w:p>
    <w:p w:rsidR="00000000" w:rsidDel="00000000" w:rsidP="00000000" w:rsidRDefault="00000000" w:rsidRPr="00000000" w14:paraId="00000009">
      <w:pPr>
        <w:rPr>
          <w:color w:val="2e75b5"/>
          <w:sz w:val="24"/>
          <w:szCs w:val="24"/>
        </w:rPr>
      </w:pPr>
      <w:r w:rsidDel="00000000" w:rsidR="00000000" w:rsidRPr="00000000">
        <w:rPr>
          <w:rtl w:val="0"/>
        </w:rPr>
      </w:r>
    </w:p>
    <w:p w:rsidR="00000000" w:rsidDel="00000000" w:rsidP="00000000" w:rsidRDefault="00000000" w:rsidRPr="00000000" w14:paraId="0000000A">
      <w:pPr>
        <w:rPr>
          <w:color w:val="2e75b5"/>
          <w:sz w:val="24"/>
          <w:szCs w:val="24"/>
        </w:rPr>
      </w:pPr>
      <w:r w:rsidDel="00000000" w:rsidR="00000000" w:rsidRPr="00000000">
        <w:rPr>
          <w:rtl w:val="0"/>
        </w:rPr>
      </w:r>
    </w:p>
    <w:p w:rsidR="00000000" w:rsidDel="00000000" w:rsidP="00000000" w:rsidRDefault="00000000" w:rsidRPr="00000000" w14:paraId="0000000B">
      <w:pPr>
        <w:rPr>
          <w:color w:val="2e75b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3"/>
        <w:ind w:left="0" w:firstLine="0"/>
        <w:rPr>
          <w:color w:val="2b6fab"/>
        </w:rPr>
      </w:pPr>
      <w:bookmarkStart w:colFirst="0" w:colLast="0" w:name="_3luz0ytuuiqx" w:id="0"/>
      <w:bookmarkEnd w:id="0"/>
      <w:r w:rsidDel="00000000" w:rsidR="00000000" w:rsidRPr="00000000">
        <w:rPr>
          <w:rtl w:val="0"/>
        </w:rPr>
        <w:t xml:space="preserve">Uncertainties and methodological choices</w:t>
      </w:r>
      <w:r w:rsidDel="00000000" w:rsidR="00000000" w:rsidRPr="00000000">
        <w:rPr>
          <w:rtl w:val="0"/>
        </w:rPr>
      </w:r>
    </w:p>
    <w:p w:rsidR="00000000" w:rsidDel="00000000" w:rsidP="00000000" w:rsidRDefault="00000000" w:rsidRPr="00000000" w14:paraId="0000000D">
      <w:pPr>
        <w:rPr>
          <w:sz w:val="22"/>
          <w:szCs w:val="22"/>
        </w:rPr>
      </w:pPr>
      <w:r w:rsidDel="00000000" w:rsidR="00000000" w:rsidRPr="00000000">
        <w:rPr>
          <w:rtl w:val="0"/>
        </w:rPr>
        <w:t xml:space="preserve">Uncertainties in emissions estimates are reported following the IPCC AR6 Working Group III assessment of ±8% for fossil CO</w:t>
      </w:r>
      <w:r w:rsidDel="00000000" w:rsidR="00000000" w:rsidRPr="00000000">
        <w:rPr>
          <w:rtl w:val="0"/>
        </w:rPr>
        <w:t xml:space="preserve">2</w:t>
      </w:r>
      <w:r w:rsidDel="00000000" w:rsidR="00000000" w:rsidRPr="00000000">
        <w:rPr>
          <w:rtl w:val="0"/>
        </w:rPr>
        <w:t xml:space="preserve">, ±70% for LULUCF CO</w:t>
      </w:r>
      <w:r w:rsidDel="00000000" w:rsidR="00000000" w:rsidRPr="00000000">
        <w:rPr>
          <w:rtl w:val="0"/>
        </w:rPr>
        <w:t xml:space="preserve">2</w:t>
      </w:r>
      <w:r w:rsidDel="00000000" w:rsidR="00000000" w:rsidRPr="00000000">
        <w:rPr>
          <w:rtl w:val="0"/>
        </w:rPr>
        <w:t xml:space="preserve">, ±30% for CH</w:t>
      </w:r>
      <w:r w:rsidDel="00000000" w:rsidR="00000000" w:rsidRPr="00000000">
        <w:rPr>
          <w:rtl w:val="0"/>
        </w:rPr>
        <w:t xml:space="preserve">4</w:t>
      </w:r>
      <w:r w:rsidDel="00000000" w:rsidR="00000000" w:rsidRPr="00000000">
        <w:rPr>
          <w:rtl w:val="0"/>
        </w:rPr>
        <w:t xml:space="preserve"> and F-gases, ±60% for N</w:t>
      </w:r>
      <w:r w:rsidDel="00000000" w:rsidR="00000000" w:rsidRPr="00000000">
        <w:rPr>
          <w:rtl w:val="0"/>
        </w:rPr>
        <w:t xml:space="preserve">2</w:t>
      </w:r>
      <w:r w:rsidDel="00000000" w:rsidR="00000000" w:rsidRPr="00000000">
        <w:rPr>
          <w:rtl w:val="0"/>
        </w:rPr>
        <w:t xml:space="preserve">O </w:t>
      </w:r>
      <w:hyperlink r:id="rId6">
        <w:r w:rsidDel="00000000" w:rsidR="00000000" w:rsidRPr="00000000">
          <w:rPr>
            <w:rtl w:val="0"/>
          </w:rPr>
          <w:t xml:space="preserve">(Dhakal et al., 2022)</w:t>
        </w:r>
      </w:hyperlink>
      <w:r w:rsidDel="00000000" w:rsidR="00000000" w:rsidRPr="00000000">
        <w:rPr>
          <w:rtl w:val="0"/>
        </w:rPr>
        <w:t xml:space="preserve">. Reflecting these uncertainties, global emissions estimates are rounded to the first decimal place of billions of tons of CO</w:t>
      </w:r>
      <w:r w:rsidDel="00000000" w:rsidR="00000000" w:rsidRPr="00000000">
        <w:rPr>
          <w:rtl w:val="0"/>
        </w:rPr>
        <w:t xml:space="preserve">2</w:t>
      </w:r>
      <w:r w:rsidDel="00000000" w:rsidR="00000000" w:rsidRPr="00000000">
        <w:rPr>
          <w:rtl w:val="0"/>
        </w:rPr>
        <w:t xml:space="preserve"> equivalent, while current national emissions estimates are reported to three significant figures in millions of tons of CO</w:t>
      </w:r>
      <w:r w:rsidDel="00000000" w:rsidR="00000000" w:rsidRPr="00000000">
        <w:rPr>
          <w:rtl w:val="0"/>
        </w:rPr>
        <w:t xml:space="preserve">2</w:t>
      </w:r>
      <w:r w:rsidDel="00000000" w:rsidR="00000000" w:rsidRPr="00000000">
        <w:rPr>
          <w:rtl w:val="0"/>
        </w:rPr>
        <w:t xml:space="preserve"> equivalent. Rates of change are reported to the first decimal place and fractions are rounded to the nearest 1. Chapter 2 follows a territorial-based accounting of emissions (i.e. emissions are allocated to the sectors and nations where they occur) unless otherwise noted. The latest years of emissions data should be treated as preliminary - particularly in the case of LULUCF CO</w:t>
      </w:r>
      <w:r w:rsidDel="00000000" w:rsidR="00000000" w:rsidRPr="00000000">
        <w:rPr>
          <w:rtl w:val="0"/>
        </w:rPr>
        <w:t xml:space="preserve">2</w:t>
      </w:r>
      <w:r w:rsidDel="00000000" w:rsidR="00000000" w:rsidRPr="00000000">
        <w:rPr>
          <w:rtl w:val="0"/>
        </w:rPr>
        <w:t xml:space="preserve"> and non-CO</w:t>
      </w:r>
      <w:r w:rsidDel="00000000" w:rsidR="00000000" w:rsidRPr="00000000">
        <w:rPr>
          <w:rtl w:val="0"/>
        </w:rPr>
        <w:t xml:space="preserve">2</w:t>
      </w:r>
      <w:r w:rsidDel="00000000" w:rsidR="00000000" w:rsidRPr="00000000">
        <w:rPr>
          <w:rtl w:val="0"/>
        </w:rPr>
        <w:t xml:space="preserve"> GHG emissions - due to the use of provisional methodologies based on available activity data. Emissions are generally reported up to 2024. However, due to data limitations, this is not possible for inventory-based LULUCF CO</w:t>
      </w:r>
      <w:r w:rsidDel="00000000" w:rsidR="00000000" w:rsidRPr="00000000">
        <w:rPr>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E">
      <w:pPr>
        <w:pStyle w:val="Heading3"/>
        <w:rPr/>
      </w:pPr>
      <w:bookmarkStart w:colFirst="0" w:colLast="0" w:name="_53ueohm9k7cs" w:id="1"/>
      <w:bookmarkEnd w:id="1"/>
      <w:r w:rsidDel="00000000" w:rsidR="00000000" w:rsidRPr="00000000">
        <w:rPr>
          <w:rtl w:val="0"/>
        </w:rPr>
        <w:t xml:space="preserve">Comparison of estimates to previous Emissions Gap Reports</w:t>
      </w:r>
    </w:p>
    <w:p w:rsidR="00000000" w:rsidDel="00000000" w:rsidP="00000000" w:rsidRDefault="00000000" w:rsidRPr="00000000" w14:paraId="0000000F">
      <w:pPr>
        <w:spacing w:after="240" w:before="240" w:lineRule="auto"/>
        <w:jc w:val="both"/>
        <w:rPr/>
      </w:pPr>
      <w:r w:rsidDel="00000000" w:rsidR="00000000" w:rsidRPr="00000000">
        <w:rPr>
          <w:rtl w:val="0"/>
        </w:rPr>
        <w:t xml:space="preserve">The </w:t>
      </w:r>
      <w:r w:rsidDel="00000000" w:rsidR="00000000" w:rsidRPr="00000000">
        <w:rPr>
          <w:rtl w:val="0"/>
        </w:rPr>
        <w:t xml:space="preserve">EDGAR and the Global Carbon Budget datasets are updated on a yearly basis using the latest available statistical information. These updates not only add additional years of data as it becomes available, but they also apply revisions to previously published data. This implies changes compared to prior reporting in the Emissions Gap Report, as summarized in Table 2 for the year 2019. While differences can be substantial, particularly for non-Fossil CO</w:t>
      </w:r>
      <w:r w:rsidDel="00000000" w:rsidR="00000000" w:rsidRPr="00000000">
        <w:rPr>
          <w:vertAlign w:val="subscript"/>
          <w:rtl w:val="0"/>
        </w:rPr>
        <w:t xml:space="preserve">2</w:t>
      </w:r>
      <w:r w:rsidDel="00000000" w:rsidR="00000000" w:rsidRPr="00000000">
        <w:rPr>
          <w:rtl w:val="0"/>
        </w:rPr>
        <w:t xml:space="preserve"> emissions, they all lie within the standard uncertainty ranges used by Chapter 2.</w:t>
      </w:r>
    </w:p>
    <w:tbl>
      <w:tblPr>
        <w:tblStyle w:val="Table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55"/>
        <w:gridCol w:w="1755"/>
        <w:gridCol w:w="1755"/>
        <w:tblGridChange w:id="0">
          <w:tblGrid>
            <w:gridCol w:w="1980"/>
            <w:gridCol w:w="1755"/>
            <w:gridCol w:w="1755"/>
            <w:gridCol w:w="1755"/>
            <w:gridCol w:w="1755"/>
          </w:tblGrid>
        </w:tblGridChange>
      </w:tblGrid>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0">
            <w:pPr>
              <w:spacing w:line="240" w:lineRule="auto"/>
              <w:rPr/>
            </w:pPr>
            <w:r w:rsidDel="00000000" w:rsidR="00000000" w:rsidRPr="00000000">
              <w:rPr>
                <w:rtl w:val="0"/>
              </w:rPr>
              <w:t xml:space="preserve">GtCO</w:t>
            </w:r>
            <w:r w:rsidDel="00000000" w:rsidR="00000000" w:rsidRPr="00000000">
              <w:rPr>
                <w:vertAlign w:val="subscript"/>
                <w:rtl w:val="0"/>
              </w:rPr>
              <w:t xml:space="preserve">2</w:t>
            </w:r>
            <w:r w:rsidDel="00000000" w:rsidR="00000000" w:rsidRPr="00000000">
              <w:rPr>
                <w:rtl w:val="0"/>
              </w:rPr>
              <w:t xml:space="preserve">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1">
            <w:pPr>
              <w:spacing w:line="240" w:lineRule="auto"/>
              <w:rPr/>
            </w:pPr>
            <w:r w:rsidDel="00000000" w:rsidR="00000000" w:rsidRPr="00000000">
              <w:rPr>
                <w:rtl w:val="0"/>
              </w:rPr>
              <w:t xml:space="preserve">Emissions Gap Report 2022</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2">
            <w:pPr>
              <w:spacing w:line="240" w:lineRule="auto"/>
              <w:rPr/>
            </w:pPr>
            <w:r w:rsidDel="00000000" w:rsidR="00000000" w:rsidRPr="00000000">
              <w:rPr>
                <w:rtl w:val="0"/>
              </w:rPr>
              <w:t xml:space="preserve">Emissions Gap Report 2023</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3">
            <w:pPr>
              <w:spacing w:line="240" w:lineRule="auto"/>
              <w:rPr/>
            </w:pPr>
            <w:r w:rsidDel="00000000" w:rsidR="00000000" w:rsidRPr="00000000">
              <w:rPr>
                <w:rtl w:val="0"/>
              </w:rPr>
              <w:t xml:space="preserve">Emissions Gap Report 2024</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4">
            <w:pPr>
              <w:spacing w:line="240" w:lineRule="auto"/>
              <w:rPr/>
            </w:pPr>
            <w:r w:rsidDel="00000000" w:rsidR="00000000" w:rsidRPr="00000000">
              <w:rPr>
                <w:rtl w:val="0"/>
              </w:rPr>
              <w:t xml:space="preserve">Emissions Gap Report 2025</w:t>
            </w:r>
          </w:p>
        </w:tc>
      </w:tr>
      <w:tr>
        <w:trPr>
          <w:cantSplit w:val="0"/>
          <w:trHeight w:val="613.417322834645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5">
            <w:pPr>
              <w:spacing w:line="240" w:lineRule="auto"/>
              <w:rPr/>
            </w:pPr>
            <w:r w:rsidDel="00000000" w:rsidR="00000000" w:rsidRPr="00000000">
              <w:rPr>
                <w:rtl w:val="0"/>
              </w:rPr>
              <w:t xml:space="preserve">GHG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6">
            <w:pPr>
              <w:spacing w:line="240" w:lineRule="auto"/>
              <w:rPr/>
            </w:pPr>
            <w:r w:rsidDel="00000000" w:rsidR="00000000" w:rsidRPr="00000000">
              <w:rPr>
                <w:rtl w:val="0"/>
              </w:rPr>
              <w:t xml:space="preserve">56.4±5.4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7">
            <w:pPr>
              <w:spacing w:line="240" w:lineRule="auto"/>
              <w:rPr/>
            </w:pPr>
            <w:r w:rsidDel="00000000" w:rsidR="00000000" w:rsidRPr="00000000">
              <w:rPr>
                <w:rtl w:val="0"/>
              </w:rPr>
              <w:t xml:space="preserve">56.9±5.6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8">
            <w:pPr>
              <w:spacing w:line="240" w:lineRule="auto"/>
              <w:rPr/>
            </w:pPr>
            <w:r w:rsidDel="00000000" w:rsidR="00000000" w:rsidRPr="00000000">
              <w:rPr>
                <w:rtl w:val="0"/>
              </w:rPr>
              <w:t xml:space="preserve">55.9±5.5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9">
            <w:pPr>
              <w:spacing w:line="240" w:lineRule="auto"/>
              <w:rPr/>
            </w:pPr>
            <w:r w:rsidDel="00000000" w:rsidR="00000000" w:rsidRPr="00000000">
              <w:rPr>
                <w:rtl w:val="0"/>
              </w:rPr>
              <w:t xml:space="preserve">54.6±5.1</w:t>
            </w:r>
          </w:p>
        </w:tc>
      </w:tr>
      <w:tr>
        <w:trPr>
          <w:cantSplit w:val="0"/>
          <w:trHeight w:val="613.417322834645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A">
            <w:pPr>
              <w:spacing w:line="240" w:lineRule="auto"/>
              <w:rPr>
                <w:vertAlign w:val="subscript"/>
              </w:rPr>
            </w:pPr>
            <w:r w:rsidDel="00000000" w:rsidR="00000000" w:rsidRPr="00000000">
              <w:rPr>
                <w:rtl w:val="0"/>
              </w:rPr>
              <w:t xml:space="preserve">Fossil CO</w:t>
            </w:r>
            <w:r w:rsidDel="00000000" w:rsidR="00000000" w:rsidRPr="00000000">
              <w:rPr>
                <w:vertAlign w:val="subscript"/>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B">
            <w:pPr>
              <w:spacing w:line="240" w:lineRule="auto"/>
              <w:rPr/>
            </w:pPr>
            <w:r w:rsidDel="00000000" w:rsidR="00000000" w:rsidRPr="00000000">
              <w:rPr>
                <w:rtl w:val="0"/>
              </w:rPr>
              <w:t xml:space="preserve">38±3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C">
            <w:pPr>
              <w:spacing w:line="240" w:lineRule="auto"/>
              <w:rPr/>
            </w:pPr>
            <w:r w:rsidDel="00000000" w:rsidR="00000000" w:rsidRPr="00000000">
              <w:rPr>
                <w:rtl w:val="0"/>
              </w:rPr>
              <w:t xml:space="preserve">37.8±3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D">
            <w:pPr>
              <w:spacing w:line="240" w:lineRule="auto"/>
              <w:rPr/>
            </w:pPr>
            <w:r w:rsidDel="00000000" w:rsidR="00000000" w:rsidRPr="00000000">
              <w:rPr>
                <w:rtl w:val="0"/>
              </w:rPr>
              <w:t xml:space="preserve">38.1±3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E">
            <w:pPr>
              <w:spacing w:line="240" w:lineRule="auto"/>
              <w:rPr/>
            </w:pPr>
            <w:r w:rsidDel="00000000" w:rsidR="00000000" w:rsidRPr="00000000">
              <w:rPr>
                <w:rtl w:val="0"/>
              </w:rPr>
              <w:t xml:space="preserve">38±3</w:t>
            </w:r>
          </w:p>
        </w:tc>
      </w:tr>
      <w:tr>
        <w:trPr>
          <w:cantSplit w:val="0"/>
          <w:trHeight w:val="613.417322834645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F">
            <w:pPr>
              <w:spacing w:line="240" w:lineRule="auto"/>
              <w:rPr/>
            </w:pPr>
            <w:r w:rsidDel="00000000" w:rsidR="00000000" w:rsidRPr="00000000">
              <w:rPr>
                <w:rtl w:val="0"/>
              </w:rPr>
              <w:t xml:space="preserve">LULUCF CO</w:t>
            </w:r>
            <w:r w:rsidDel="00000000" w:rsidR="00000000" w:rsidRPr="00000000">
              <w:rPr>
                <w:vertAlign w:val="subscript"/>
                <w:rtl w:val="0"/>
              </w:rPr>
              <w:t xml:space="preserve">2 </w:t>
            </w:r>
            <w:r w:rsidDel="00000000" w:rsidR="00000000" w:rsidRPr="00000000">
              <w:rPr>
                <w:rtl w:val="0"/>
              </w:rPr>
              <w:t xml:space="preserve">(Bookkeeping)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0">
            <w:pPr>
              <w:spacing w:line="240" w:lineRule="auto"/>
              <w:rPr/>
            </w:pPr>
            <w:r w:rsidDel="00000000" w:rsidR="00000000" w:rsidRPr="00000000">
              <w:rPr>
                <w:rtl w:val="0"/>
              </w:rPr>
              <w:t xml:space="preserve">3.8±2.7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1">
            <w:pPr>
              <w:spacing w:line="240" w:lineRule="auto"/>
              <w:rPr/>
            </w:pPr>
            <w:r w:rsidDel="00000000" w:rsidR="00000000" w:rsidRPr="00000000">
              <w:rPr>
                <w:rtl w:val="0"/>
              </w:rPr>
              <w:t xml:space="preserve">4.6±3.2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2">
            <w:pPr>
              <w:spacing w:line="240" w:lineRule="auto"/>
              <w:rPr/>
            </w:pPr>
            <w:r w:rsidDel="00000000" w:rsidR="00000000" w:rsidRPr="00000000">
              <w:rPr>
                <w:rtl w:val="0"/>
              </w:rPr>
              <w:t xml:space="preserve">4.6±3.2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3">
            <w:pPr>
              <w:spacing w:line="240" w:lineRule="auto"/>
              <w:rPr/>
            </w:pPr>
            <w:r w:rsidDel="00000000" w:rsidR="00000000" w:rsidRPr="00000000">
              <w:rPr>
                <w:rtl w:val="0"/>
              </w:rPr>
              <w:t xml:space="preserve">3.79±2.7</w:t>
            </w:r>
          </w:p>
        </w:tc>
      </w:tr>
      <w:tr>
        <w:trPr>
          <w:cantSplit w:val="0"/>
          <w:trHeight w:val="613.417322834645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4">
            <w:pPr>
              <w:spacing w:line="240" w:lineRule="auto"/>
              <w:rPr/>
            </w:pPr>
            <w:r w:rsidDel="00000000" w:rsidR="00000000" w:rsidRPr="00000000">
              <w:rPr>
                <w:rtl w:val="0"/>
              </w:rPr>
              <w:t xml:space="preserve">LULUCF CO</w:t>
            </w:r>
            <w:r w:rsidDel="00000000" w:rsidR="00000000" w:rsidRPr="00000000">
              <w:rPr>
                <w:vertAlign w:val="subscript"/>
                <w:rtl w:val="0"/>
              </w:rPr>
              <w:t xml:space="preserve">2</w:t>
            </w:r>
            <w:r w:rsidDel="00000000" w:rsidR="00000000" w:rsidRPr="00000000">
              <w:rPr>
                <w:rtl w:val="0"/>
              </w:rPr>
              <w:t xml:space="preserve"> (Inventory)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5">
            <w:pPr>
              <w:spacing w:line="240" w:lineRule="auto"/>
              <w:rPr/>
            </w:pPr>
            <w:r w:rsidDel="00000000" w:rsidR="00000000" w:rsidRPr="00000000">
              <w:rPr>
                <w:rtl w:val="0"/>
              </w:rPr>
              <w:t xml:space="preserve">-1.9±-1.3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6">
            <w:pPr>
              <w:spacing w:line="240" w:lineRule="auto"/>
              <w:rPr/>
            </w:pPr>
            <w:r w:rsidDel="00000000" w:rsidR="00000000" w:rsidRPr="00000000">
              <w:rPr>
                <w:rtl w:val="0"/>
              </w:rPr>
              <w:t xml:space="preserve">-2.4±-1.7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7">
            <w:pPr>
              <w:spacing w:line="240" w:lineRule="auto"/>
              <w:rPr/>
            </w:pPr>
            <w:r w:rsidDel="00000000" w:rsidR="00000000" w:rsidRPr="00000000">
              <w:rPr>
                <w:rtl w:val="0"/>
              </w:rPr>
              <w:t xml:space="preserve">-2.8±-2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8">
            <w:pPr>
              <w:spacing w:line="240" w:lineRule="auto"/>
              <w:rPr/>
            </w:pPr>
            <w:r w:rsidDel="00000000" w:rsidR="00000000" w:rsidRPr="00000000">
              <w:rPr>
                <w:rtl w:val="0"/>
              </w:rPr>
              <w:t xml:space="preserve">-3.55±-2.5</w:t>
            </w:r>
          </w:p>
        </w:tc>
      </w:tr>
      <w:tr>
        <w:trPr>
          <w:cantSplit w:val="0"/>
          <w:trHeight w:val="613.417322834645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9">
            <w:pPr>
              <w:spacing w:line="240" w:lineRule="auto"/>
              <w:rPr>
                <w:vertAlign w:val="subscript"/>
              </w:rPr>
            </w:pPr>
            <w:r w:rsidDel="00000000" w:rsidR="00000000" w:rsidRPr="00000000">
              <w:rPr>
                <w:rtl w:val="0"/>
              </w:rPr>
              <w:t xml:space="preserve">CH</w:t>
            </w:r>
            <w:r w:rsidDel="00000000" w:rsidR="00000000" w:rsidRPr="00000000">
              <w:rPr>
                <w:vertAlign w:val="subscript"/>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A">
            <w:pPr>
              <w:spacing w:line="240" w:lineRule="auto"/>
              <w:rPr/>
            </w:pPr>
            <w:r w:rsidDel="00000000" w:rsidR="00000000" w:rsidRPr="00000000">
              <w:rPr>
                <w:rtl w:val="0"/>
              </w:rPr>
              <w:t xml:space="preserve">10.6±3.2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B">
            <w:pPr>
              <w:spacing w:line="240" w:lineRule="auto"/>
              <w:rPr/>
            </w:pPr>
            <w:r w:rsidDel="00000000" w:rsidR="00000000" w:rsidRPr="00000000">
              <w:rPr>
                <w:rtl w:val="0"/>
              </w:rPr>
              <w:t xml:space="preserve">10.5±3.2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t xml:space="preserve">9.3±2.8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D">
            <w:pPr>
              <w:spacing w:line="240" w:lineRule="auto"/>
              <w:rPr/>
            </w:pPr>
            <w:r w:rsidDel="00000000" w:rsidR="00000000" w:rsidRPr="00000000">
              <w:rPr>
                <w:rtl w:val="0"/>
              </w:rPr>
              <w:t xml:space="preserve">8.95±2.7</w:t>
            </w:r>
          </w:p>
        </w:tc>
      </w:tr>
      <w:tr>
        <w:trPr>
          <w:cantSplit w:val="0"/>
          <w:trHeight w:val="613.417322834645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rtl w:val="0"/>
              </w:rPr>
              <w:t xml:space="preserve">N</w:t>
            </w:r>
            <w:r w:rsidDel="00000000" w:rsidR="00000000" w:rsidRPr="00000000">
              <w:rPr>
                <w:vertAlign w:val="subscript"/>
                <w:rtl w:val="0"/>
              </w:rPr>
              <w:t xml:space="preserve">2</w:t>
            </w:r>
            <w:r w:rsidDel="00000000" w:rsidR="00000000" w:rsidRPr="00000000">
              <w:rPr>
                <w:rtl w:val="0"/>
              </w:rPr>
              <w:t xml:space="preserve">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2.6±1.6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0">
            <w:pPr>
              <w:spacing w:line="240" w:lineRule="auto"/>
              <w:rPr/>
            </w:pPr>
            <w:r w:rsidDel="00000000" w:rsidR="00000000" w:rsidRPr="00000000">
              <w:rPr>
                <w:rtl w:val="0"/>
              </w:rPr>
              <w:t xml:space="preserve">2.6±1.5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1">
            <w:pPr>
              <w:spacing w:line="240" w:lineRule="auto"/>
              <w:rPr/>
            </w:pPr>
            <w:r w:rsidDel="00000000" w:rsidR="00000000" w:rsidRPr="00000000">
              <w:rPr>
                <w:rtl w:val="0"/>
              </w:rPr>
              <w:t xml:space="preserve">2.5±1.5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2">
            <w:pPr>
              <w:spacing w:line="240" w:lineRule="auto"/>
              <w:rPr/>
            </w:pPr>
            <w:r w:rsidDel="00000000" w:rsidR="00000000" w:rsidRPr="00000000">
              <w:rPr>
                <w:rtl w:val="0"/>
              </w:rPr>
              <w:t xml:space="preserve">2.49±1.5</w:t>
            </w:r>
          </w:p>
        </w:tc>
      </w:tr>
      <w:tr>
        <w:trPr>
          <w:cantSplit w:val="0"/>
          <w:trHeight w:val="302.373046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3">
            <w:pPr>
              <w:spacing w:line="240" w:lineRule="auto"/>
              <w:rPr/>
            </w:pPr>
            <w:r w:rsidDel="00000000" w:rsidR="00000000" w:rsidRPr="00000000">
              <w:rPr>
                <w:rtl w:val="0"/>
              </w:rPr>
              <w:t xml:space="preserve">F-gases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4">
            <w:pPr>
              <w:spacing w:line="240" w:lineRule="auto"/>
              <w:rPr/>
            </w:pPr>
            <w:r w:rsidDel="00000000" w:rsidR="00000000" w:rsidRPr="00000000">
              <w:rPr>
                <w:rtl w:val="0"/>
              </w:rPr>
              <w:t xml:space="preserve">1.4±0.42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5">
            <w:pPr>
              <w:spacing w:line="240" w:lineRule="auto"/>
              <w:rPr/>
            </w:pPr>
            <w:r w:rsidDel="00000000" w:rsidR="00000000" w:rsidRPr="00000000">
              <w:rPr>
                <w:rtl w:val="0"/>
              </w:rPr>
              <w:t xml:space="preserve">1.4±0.42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6">
            <w:pPr>
              <w:spacing w:line="240" w:lineRule="auto"/>
              <w:rPr/>
            </w:pPr>
            <w:r w:rsidDel="00000000" w:rsidR="00000000" w:rsidRPr="00000000">
              <w:rPr>
                <w:rtl w:val="0"/>
              </w:rPr>
              <w:t xml:space="preserve">1.4±0.42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7">
            <w:pPr>
              <w:spacing w:line="240" w:lineRule="auto"/>
              <w:rPr/>
            </w:pPr>
            <w:r w:rsidDel="00000000" w:rsidR="00000000" w:rsidRPr="00000000">
              <w:rPr>
                <w:rtl w:val="0"/>
              </w:rPr>
              <w:t xml:space="preserve">1.41±0.4</w:t>
            </w:r>
          </w:p>
        </w:tc>
      </w:tr>
    </w:tbl>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Table 1: Emissions in 2019 as reported in previous Emissions Gap Reports</w:t>
      </w:r>
    </w:p>
    <w:p w:rsidR="00000000" w:rsidDel="00000000" w:rsidP="00000000" w:rsidRDefault="00000000" w:rsidRPr="00000000" w14:paraId="00000039">
      <w:pPr>
        <w:pStyle w:val="Heading3"/>
        <w:spacing w:after="240" w:before="240" w:lineRule="auto"/>
        <w:rPr/>
      </w:pPr>
      <w:bookmarkStart w:colFirst="0" w:colLast="0" w:name="_72jpha84d7" w:id="2"/>
      <w:bookmarkEnd w:id="2"/>
      <w:r w:rsidDel="00000000" w:rsidR="00000000" w:rsidRPr="00000000">
        <w:rPr>
          <w:rtl w:val="0"/>
        </w:rPr>
        <w:t xml:space="preserve">On the use of national inventories versus third party emissions data </w:t>
      </w:r>
    </w:p>
    <w:p w:rsidR="00000000" w:rsidDel="00000000" w:rsidP="00000000" w:rsidRDefault="00000000" w:rsidRPr="00000000" w14:paraId="0000003A">
      <w:pPr>
        <w:rPr/>
      </w:pPr>
      <w:r w:rsidDel="00000000" w:rsidR="00000000" w:rsidRPr="00000000">
        <w:rPr>
          <w:rtl w:val="0"/>
        </w:rPr>
        <w:t xml:space="preserve">Chapter 2 of the Emissions Gap Report provides estimates of greenhouse gases up to one year prior to publication (this year: up to 2024). One of the challenges in providing this timely update is that national emissions inventories (hereafter ‘inventories’) are not usually available for the prior year at the time of publication. The National Inventory Reports (NIRs), published by Annex I countries, and the Biennial Transparency Reports (BTRs), published by all countries, typically include emissions up to two years prior. In addition, submitted BTRs are not always complete in terms of gases, sectors and years, or are simply not available for all countries (see Box 3 in Chapter 2).</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As a result, the analysis in Chapter 2 relies on third-party data to track global, national and sectoral emissions. Table 2 describes a selection of third-party datasets. The choice of EDGAR as the primary dataset for GHG emissions in Chapter 2 reflects its comprehensive coverage of gases and timely update schedule, which can provide estimates for the prior year at the time of publication.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Besides the timing of inventories and third-party data releases, a key consideration is data quality. It can be argued that compared to third-party data, inventories often use more detailed methodologies and can apply country-specific emissions factors, reflecting considerable national investments in data gathering and analysis. This may especially be the case for Annex I countries, which have accumulated significant experience in reporting inventories. It should be noted that the EDGAR database used in this chapter is predominantly based on Tier 1 emission factors, whereas inventories often use more detailed Tier 2 or Tier 3 emission factors. On the other hand, a number of studies have found that inventories tend to diverge from top-down atmospheric inversions of CH</w:t>
      </w:r>
      <w:r w:rsidDel="00000000" w:rsidR="00000000" w:rsidRPr="00000000">
        <w:rPr>
          <w:vertAlign w:val="subscript"/>
          <w:rtl w:val="0"/>
        </w:rPr>
        <w:t xml:space="preserve">4</w:t>
      </w:r>
      <w:r w:rsidDel="00000000" w:rsidR="00000000" w:rsidRPr="00000000">
        <w:rPr>
          <w:rtl w:val="0"/>
        </w:rPr>
        <w:t xml:space="preserve"> emissions, indicating that further improvements are needed in specific sectors such as agriculture, waste and fossil fuel production (Deng et al., 2022; Janardanan et al., 2024; Scarpelli et al., 2022; Tibrewal et al., 2024).</w:t>
      </w:r>
    </w:p>
    <w:p w:rsidR="00000000" w:rsidDel="00000000" w:rsidP="00000000" w:rsidRDefault="00000000" w:rsidRPr="00000000" w14:paraId="0000003F">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080"/>
        <w:gridCol w:w="1815"/>
        <w:gridCol w:w="1620"/>
        <w:gridCol w:w="1800"/>
        <w:tblGridChange w:id="0">
          <w:tblGrid>
            <w:gridCol w:w="2685"/>
            <w:gridCol w:w="1080"/>
            <w:gridCol w:w="1815"/>
            <w:gridCol w:w="162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Dataset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Time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rPr/>
            </w:pPr>
            <w:r w:rsidDel="00000000" w:rsidR="00000000" w:rsidRPr="00000000">
              <w:rPr>
                <w:rtl w:val="0"/>
              </w:rPr>
              <w:t xml:space="preserve">Emissions Database for Global Atmospheric Research (EDGAR)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-FFI, CH</w:t>
            </w:r>
            <w:r w:rsidDel="00000000" w:rsidR="00000000" w:rsidRPr="00000000">
              <w:rPr>
                <w:vertAlign w:val="subscript"/>
                <w:rtl w:val="0"/>
              </w:rPr>
              <w:t xml:space="preserve">4</w:t>
            </w:r>
            <w:r w:rsidDel="00000000" w:rsidR="00000000" w:rsidRPr="00000000">
              <w:rPr>
                <w:rtl w:val="0"/>
              </w:rPr>
              <w:t xml:space="preserve">, N</w:t>
            </w:r>
            <w:r w:rsidDel="00000000" w:rsidR="00000000" w:rsidRPr="00000000">
              <w:rPr>
                <w:vertAlign w:val="subscript"/>
                <w:rtl w:val="0"/>
              </w:rPr>
              <w:t xml:space="preserve">2</w:t>
            </w:r>
            <w:r w:rsidDel="00000000" w:rsidR="00000000" w:rsidRPr="00000000">
              <w:rPr>
                <w:rtl w:val="0"/>
              </w:rPr>
              <w:t xml:space="preserve">O, HFCs, PFCs, SF</w:t>
            </w:r>
            <w:r w:rsidDel="00000000" w:rsidR="00000000" w:rsidRPr="00000000">
              <w:rPr>
                <w:vertAlign w:val="subscript"/>
                <w:rtl w:val="0"/>
              </w:rPr>
              <w:t xml:space="preserve">6</w:t>
            </w:r>
            <w:r w:rsidDel="00000000" w:rsidR="00000000" w:rsidRPr="00000000">
              <w:rPr>
                <w:rtl w:val="0"/>
              </w:rPr>
              <w:t xml:space="preserve">, NF</w:t>
            </w:r>
            <w:r w:rsidDel="00000000" w:rsidR="00000000" w:rsidRPr="00000000">
              <w:rPr>
                <w:vertAlign w:val="sub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rPr/>
            </w:pPr>
            <w:hyperlink r:id="rId7">
              <w:r w:rsidDel="00000000" w:rsidR="00000000" w:rsidRPr="00000000">
                <w:rPr>
                  <w:color w:val="1155cc"/>
                  <w:u w:val="single"/>
                  <w:rtl w:val="0"/>
                </w:rPr>
                <w:t xml:space="preserve">https://edgar.jrc.ec.europa.eu/</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pPr>
            <w:r w:rsidDel="00000000" w:rsidR="00000000" w:rsidRPr="00000000">
              <w:rPr>
                <w:rtl w:val="0"/>
              </w:rPr>
              <w:t xml:space="preserve">Potsdam Real-time Integrated Model for probabilistic Assessment of emissions Paths (PRIMAP)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-FFI, CH</w:t>
            </w:r>
            <w:r w:rsidDel="00000000" w:rsidR="00000000" w:rsidRPr="00000000">
              <w:rPr>
                <w:vertAlign w:val="subscript"/>
                <w:rtl w:val="0"/>
              </w:rPr>
              <w:t xml:space="preserve">4</w:t>
            </w:r>
            <w:r w:rsidDel="00000000" w:rsidR="00000000" w:rsidRPr="00000000">
              <w:rPr>
                <w:rtl w:val="0"/>
              </w:rPr>
              <w:t xml:space="preserve">, N</w:t>
            </w:r>
            <w:r w:rsidDel="00000000" w:rsidR="00000000" w:rsidRPr="00000000">
              <w:rPr>
                <w:vertAlign w:val="subscript"/>
                <w:rtl w:val="0"/>
              </w:rPr>
              <w:t xml:space="preserve">2</w:t>
            </w:r>
            <w:r w:rsidDel="00000000" w:rsidR="00000000" w:rsidRPr="00000000">
              <w:rPr>
                <w:rtl w:val="0"/>
              </w:rPr>
              <w:t xml:space="preserve">O, HFCs, PFCs, SF</w:t>
            </w:r>
            <w:r w:rsidDel="00000000" w:rsidR="00000000" w:rsidRPr="00000000">
              <w:rPr>
                <w:vertAlign w:val="subscript"/>
                <w:rtl w:val="0"/>
              </w:rPr>
              <w:t xml:space="preserve">6</w:t>
            </w:r>
            <w:r w:rsidDel="00000000" w:rsidR="00000000" w:rsidRPr="00000000">
              <w:rPr>
                <w:rtl w:val="0"/>
              </w:rPr>
              <w:t xml:space="preserve">, NF</w:t>
            </w:r>
            <w:r w:rsidDel="00000000" w:rsidR="00000000" w:rsidRPr="00000000">
              <w:rPr>
                <w:vertAlign w:val="sub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1750-2023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
              <w:r w:rsidDel="00000000" w:rsidR="00000000" w:rsidRPr="00000000">
                <w:rPr>
                  <w:color w:val="1155cc"/>
                  <w:u w:val="single"/>
                  <w:rtl w:val="0"/>
                </w:rPr>
                <w:t xml:space="preserve">https://zenodo.org/records/15016289</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rPr/>
            </w:pPr>
            <w:r w:rsidDel="00000000" w:rsidR="00000000" w:rsidRPr="00000000">
              <w:rPr>
                <w:rtl w:val="0"/>
              </w:rPr>
              <w:t xml:space="preserve">Community Emissions Data System (CEDS)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2025.03.18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-FFI, CH</w:t>
            </w:r>
            <w:r w:rsidDel="00000000" w:rsidR="00000000" w:rsidRPr="00000000">
              <w:rPr>
                <w:vertAlign w:val="subscript"/>
                <w:rtl w:val="0"/>
              </w:rPr>
              <w:t xml:space="preserve">4</w:t>
            </w:r>
            <w:r w:rsidDel="00000000" w:rsidR="00000000" w:rsidRPr="00000000">
              <w:rPr>
                <w:rtl w:val="0"/>
              </w:rPr>
              <w:t xml:space="preserve">, N</w:t>
            </w:r>
            <w:r w:rsidDel="00000000" w:rsidR="00000000" w:rsidRPr="00000000">
              <w:rPr>
                <w:vertAlign w:val="subscript"/>
                <w:rtl w:val="0"/>
              </w:rPr>
              <w:t xml:space="preserve">2</w:t>
            </w: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
              <w:r w:rsidDel="00000000" w:rsidR="00000000" w:rsidRPr="00000000">
                <w:rPr>
                  <w:color w:val="1155cc"/>
                  <w:u w:val="single"/>
                  <w:rtl w:val="0"/>
                </w:rPr>
                <w:t xml:space="preserve">https://zenodo.org/records/15059443</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rPr/>
            </w:pPr>
            <w:r w:rsidDel="00000000" w:rsidR="00000000" w:rsidRPr="00000000">
              <w:rPr>
                <w:rtl w:val="0"/>
              </w:rPr>
              <w:t xml:space="preserve">Global Carbon Budget (GCB)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-FFI, CO</w:t>
            </w:r>
            <w:r w:rsidDel="00000000" w:rsidR="00000000" w:rsidRPr="00000000">
              <w:rPr>
                <w:vertAlign w:val="subscript"/>
                <w:rtl w:val="0"/>
              </w:rPr>
              <w:t xml:space="preserve">2</w:t>
            </w:r>
            <w:r w:rsidDel="00000000" w:rsidR="00000000" w:rsidRPr="00000000">
              <w:rPr>
                <w:rtl w:val="0"/>
              </w:rPr>
              <w:t xml:space="preserve">-LULUCF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rPr/>
            </w:pPr>
            <w:r w:rsidDel="00000000" w:rsidR="00000000" w:rsidRPr="00000000">
              <w:rPr>
                <w:rtl w:val="0"/>
              </w:rPr>
              <w:t xml:space="preserve">1850-2023 (national);</w:t>
            </w:r>
          </w:p>
          <w:p w:rsidR="00000000" w:rsidDel="00000000" w:rsidP="00000000" w:rsidRDefault="00000000" w:rsidRPr="00000000" w14:paraId="00000058">
            <w:pPr>
              <w:spacing w:line="240" w:lineRule="auto"/>
              <w:rPr/>
            </w:pPr>
            <w:r w:rsidDel="00000000" w:rsidR="00000000" w:rsidRPr="00000000">
              <w:rPr>
                <w:rtl w:val="0"/>
              </w:rPr>
              <w:t xml:space="preserve">1850-2024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rPr/>
            </w:pPr>
            <w:hyperlink r:id="rId10">
              <w:r w:rsidDel="00000000" w:rsidR="00000000" w:rsidRPr="00000000">
                <w:rPr>
                  <w:color w:val="1155cc"/>
                  <w:u w:val="single"/>
                  <w:rtl w:val="0"/>
                </w:rPr>
                <w:t xml:space="preserve">https://globalcarbonbudget.org/</w:t>
              </w:r>
            </w:hyperlink>
            <w:r w:rsidDel="00000000" w:rsidR="00000000" w:rsidRPr="00000000">
              <w:rPr>
                <w:rtl w:val="0"/>
              </w:rPr>
              <w:t xml:space="preserve"> </w:t>
            </w:r>
          </w:p>
        </w:tc>
      </w:tr>
    </w:tbl>
    <w:p w:rsidR="00000000" w:rsidDel="00000000" w:rsidP="00000000" w:rsidRDefault="00000000" w:rsidRPr="00000000" w14:paraId="0000005A">
      <w:pPr>
        <w:spacing w:after="240" w:before="240" w:lineRule="auto"/>
        <w:jc w:val="both"/>
        <w:rPr/>
      </w:pPr>
      <w:r w:rsidDel="00000000" w:rsidR="00000000" w:rsidRPr="00000000">
        <w:rPr>
          <w:b w:val="1"/>
          <w:rtl w:val="0"/>
        </w:rPr>
        <w:t xml:space="preserve">Table 2: Overview of selected global datasets of GHG emissions.</w:t>
      </w:r>
      <w:r w:rsidDel="00000000" w:rsidR="00000000" w:rsidRPr="00000000">
        <w:rPr>
          <w:rtl w:val="0"/>
        </w:rPr>
        <w:t xml:space="preserve"> Note that details are subject to change, as these datasets are in continuous development.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spacing w:after="240" w:before="240" w:lineRule="auto"/>
        <w:jc w:val="both"/>
        <w:rPr/>
      </w:pPr>
      <w:bookmarkStart w:colFirst="0" w:colLast="0" w:name="_m6gqywty38ur" w:id="3"/>
      <w:bookmarkEnd w:id="3"/>
      <w:r w:rsidDel="00000000" w:rsidR="00000000" w:rsidRPr="00000000">
        <w:rPr>
          <w:rtl w:val="0"/>
        </w:rPr>
        <w:t xml:space="preserve">Data and code availability</w:t>
      </w:r>
    </w:p>
    <w:p w:rsidR="00000000" w:rsidDel="00000000" w:rsidP="00000000" w:rsidRDefault="00000000" w:rsidRPr="00000000" w14:paraId="0000005D">
      <w:pPr>
        <w:spacing w:after="240" w:before="240" w:lineRule="auto"/>
        <w:jc w:val="both"/>
        <w:rPr/>
      </w:pPr>
      <w:r w:rsidDel="00000000" w:rsidR="00000000" w:rsidRPr="00000000">
        <w:rPr>
          <w:rtl w:val="0"/>
        </w:rPr>
        <w:t xml:space="preserve">The code and data used to produce all emissions estimates in this chapter are available here: [Link].</w:t>
      </w:r>
    </w:p>
    <w:p w:rsidR="00000000" w:rsidDel="00000000" w:rsidP="00000000" w:rsidRDefault="00000000" w:rsidRPr="00000000" w14:paraId="0000005E">
      <w:pPr>
        <w:pStyle w:val="Heading3"/>
        <w:jc w:val="both"/>
        <w:rPr/>
      </w:pPr>
      <w:bookmarkStart w:colFirst="0" w:colLast="0" w:name="_w1nj1mytux2j" w:id="4"/>
      <w:bookmarkEnd w:id="4"/>
      <w:r w:rsidDel="00000000" w:rsidR="00000000" w:rsidRPr="00000000">
        <w:rPr>
          <w:rtl w:val="0"/>
        </w:rPr>
      </w:r>
    </w:p>
    <w:p w:rsidR="00000000" w:rsidDel="00000000" w:rsidP="00000000" w:rsidRDefault="00000000" w:rsidRPr="00000000" w14:paraId="0000005F">
      <w:pPr>
        <w:pStyle w:val="Heading3"/>
        <w:jc w:val="both"/>
        <w:rPr/>
      </w:pPr>
      <w:bookmarkStart w:colFirst="0" w:colLast="0" w:name="_urmj5w3ogjhx" w:id="5"/>
      <w:bookmarkEnd w:id="5"/>
      <w:r w:rsidDel="00000000" w:rsidR="00000000" w:rsidRPr="00000000">
        <w:rPr>
          <w:rtl w:val="0"/>
        </w:rPr>
        <w:t xml:space="preserve">Additional Figures</w:t>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2870200"/>
            <wp:effectExtent b="0" l="0" r="0" t="0"/>
            <wp:docPr id="1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Figure 1: Total net greenhouse gas emissions by source</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1200" cy="28702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sz w:val="22"/>
          <w:szCs w:val="22"/>
          <w:rtl w:val="0"/>
        </w:rPr>
        <w:t xml:space="preserve">Figure 2: Differences in net land use change (LULUCF) estimates</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2870200"/>
            <wp:effectExtent b="0" l="0" r="0" t="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sz w:val="22"/>
          <w:szCs w:val="22"/>
        </w:rPr>
      </w:pPr>
      <w:r w:rsidDel="00000000" w:rsidR="00000000" w:rsidRPr="00000000">
        <w:rPr>
          <w:b w:val="1"/>
          <w:sz w:val="22"/>
          <w:szCs w:val="22"/>
          <w:rtl w:val="0"/>
        </w:rPr>
        <w:t xml:space="preserve">Figure 3: Total net greenhouse gas emissions and their uncertainties</w:t>
      </w:r>
    </w:p>
    <w:p w:rsidR="00000000" w:rsidDel="00000000" w:rsidP="00000000" w:rsidRDefault="00000000" w:rsidRPr="00000000" w14:paraId="00000068">
      <w:pPr>
        <w:rPr>
          <w:b w:val="1"/>
          <w:sz w:val="22"/>
          <w:szCs w:val="22"/>
        </w:rPr>
      </w:pPr>
      <w:r w:rsidDel="00000000" w:rsidR="00000000" w:rsidRPr="00000000">
        <w:rPr>
          <w:rtl w:val="0"/>
        </w:rPr>
      </w:r>
    </w:p>
    <w:p w:rsidR="00000000" w:rsidDel="00000000" w:rsidP="00000000" w:rsidRDefault="00000000" w:rsidRPr="00000000" w14:paraId="00000069">
      <w:pPr>
        <w:rPr>
          <w:b w:val="1"/>
          <w:sz w:val="22"/>
          <w:szCs w:val="22"/>
        </w:rPr>
      </w:pPr>
      <w:r w:rsidDel="00000000" w:rsidR="00000000" w:rsidRPr="00000000">
        <w:rPr>
          <w:rtl w:val="0"/>
        </w:rPr>
      </w:r>
    </w:p>
    <w:p w:rsidR="00000000" w:rsidDel="00000000" w:rsidP="00000000" w:rsidRDefault="00000000" w:rsidRPr="00000000" w14:paraId="0000006A">
      <w:pPr>
        <w:rPr>
          <w:b w:val="1"/>
          <w:sz w:val="22"/>
          <w:szCs w:val="22"/>
        </w:rPr>
      </w:pPr>
      <w:r w:rsidDel="00000000" w:rsidR="00000000" w:rsidRPr="00000000">
        <w:rPr>
          <w:rtl w:val="0"/>
        </w:rPr>
      </w:r>
    </w:p>
    <w:p w:rsidR="00000000" w:rsidDel="00000000" w:rsidP="00000000" w:rsidRDefault="00000000" w:rsidRPr="00000000" w14:paraId="0000006B">
      <w:pPr>
        <w:rPr>
          <w:sz w:val="22"/>
          <w:szCs w:val="22"/>
        </w:rPr>
      </w:pPr>
      <w:r w:rsidDel="00000000" w:rsidR="00000000" w:rsidRPr="00000000">
        <w:rPr>
          <w:rtl w:val="0"/>
        </w:rPr>
      </w:r>
    </w:p>
    <w:p w:rsidR="00000000" w:rsidDel="00000000" w:rsidP="00000000" w:rsidRDefault="00000000" w:rsidRPr="00000000" w14:paraId="0000006C">
      <w:pPr>
        <w:rPr>
          <w:b w:val="1"/>
          <w:sz w:val="22"/>
          <w:szCs w:val="22"/>
        </w:rPr>
      </w:pPr>
      <w:r w:rsidDel="00000000" w:rsidR="00000000" w:rsidRPr="00000000">
        <w:rPr>
          <w:b w:val="1"/>
          <w:sz w:val="22"/>
          <w:szCs w:val="22"/>
        </w:rPr>
        <w:drawing>
          <wp:inline distB="114300" distT="114300" distL="114300" distR="114300">
            <wp:extent cx="5731200" cy="2870200"/>
            <wp:effectExtent b="0" l="0" r="0" t="0"/>
            <wp:docPr id="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sz w:val="22"/>
          <w:szCs w:val="22"/>
        </w:rPr>
      </w:pPr>
      <w:r w:rsidDel="00000000" w:rsidR="00000000" w:rsidRPr="00000000">
        <w:rPr>
          <w:b w:val="1"/>
          <w:sz w:val="22"/>
          <w:szCs w:val="22"/>
          <w:rtl w:val="0"/>
        </w:rPr>
        <w:t xml:space="preserve">Figure 4: Total net greenhouse gas emissions by sector.</w:t>
      </w:r>
    </w:p>
    <w:p w:rsidR="00000000" w:rsidDel="00000000" w:rsidP="00000000" w:rsidRDefault="00000000" w:rsidRPr="00000000" w14:paraId="0000006E">
      <w:pPr>
        <w:rPr>
          <w:b w:val="1"/>
          <w:sz w:val="22"/>
          <w:szCs w:val="22"/>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28702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sz w:val="22"/>
          <w:szCs w:val="22"/>
        </w:rPr>
      </w:pPr>
      <w:r w:rsidDel="00000000" w:rsidR="00000000" w:rsidRPr="00000000">
        <w:rPr>
          <w:b w:val="1"/>
          <w:sz w:val="22"/>
          <w:szCs w:val="22"/>
          <w:rtl w:val="0"/>
        </w:rPr>
        <w:t xml:space="preserve">Figure 6: Share of total greenhouse gas emissions by major emitters, excluding LULUCF</w:t>
      </w:r>
    </w:p>
    <w:p w:rsidR="00000000" w:rsidDel="00000000" w:rsidP="00000000" w:rsidRDefault="00000000" w:rsidRPr="00000000" w14:paraId="00000073">
      <w:pPr>
        <w:rPr>
          <w:b w:val="1"/>
          <w:sz w:val="22"/>
          <w:szCs w:val="22"/>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2870200"/>
            <wp:effectExtent b="0" l="0" r="0" t="0"/>
            <wp:docPr id="2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22"/>
          <w:szCs w:val="22"/>
        </w:rPr>
      </w:pPr>
      <w:r w:rsidDel="00000000" w:rsidR="00000000" w:rsidRPr="00000000">
        <w:rPr>
          <w:b w:val="1"/>
          <w:sz w:val="22"/>
          <w:szCs w:val="22"/>
          <w:rtl w:val="0"/>
        </w:rPr>
        <w:t xml:space="preserve">Figure 7: Share of total greenhouse gas emissions by major emitters, including LULUCF</w:t>
      </w:r>
    </w:p>
    <w:p w:rsidR="00000000" w:rsidDel="00000000" w:rsidP="00000000" w:rsidRDefault="00000000" w:rsidRPr="00000000" w14:paraId="00000077">
      <w:pPr>
        <w:rPr>
          <w:b w:val="1"/>
          <w:sz w:val="22"/>
          <w:szCs w:val="22"/>
        </w:rPr>
      </w:pPr>
      <w:r w:rsidDel="00000000" w:rsidR="00000000" w:rsidRPr="00000000">
        <w:rPr>
          <w:rtl w:val="0"/>
        </w:rPr>
      </w:r>
    </w:p>
    <w:p w:rsidR="00000000" w:rsidDel="00000000" w:rsidP="00000000" w:rsidRDefault="00000000" w:rsidRPr="00000000" w14:paraId="00000078">
      <w:pPr>
        <w:rPr>
          <w:b w:val="1"/>
          <w:sz w:val="22"/>
          <w:szCs w:val="22"/>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2870200"/>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Figure 8: Share of total greenhouse gas emissions by country category, excluding LULUCF</w:t>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Pr>
        <w:drawing>
          <wp:inline distB="114300" distT="114300" distL="114300" distR="114300">
            <wp:extent cx="5731200" cy="2870200"/>
            <wp:effectExtent b="0" l="0" r="0" t="0"/>
            <wp:docPr id="1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Figure 9: Share of total greenhouse gas emissions by country category, including LULUCF</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Pr>
        <w:drawing>
          <wp:inline distB="114300" distT="114300" distL="114300" distR="114300">
            <wp:extent cx="5731200" cy="2870200"/>
            <wp:effectExtent b="0" l="0" r="0" t="0"/>
            <wp:docPr id="1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Figure 10: Share of cumulative CO</w:t>
      </w:r>
      <w:r w:rsidDel="00000000" w:rsidR="00000000" w:rsidRPr="00000000">
        <w:rPr>
          <w:b w:val="1"/>
          <w:vertAlign w:val="subscript"/>
          <w:rtl w:val="0"/>
        </w:rPr>
        <w:t xml:space="preserve">2</w:t>
      </w:r>
      <w:r w:rsidDel="00000000" w:rsidR="00000000" w:rsidRPr="00000000">
        <w:rPr>
          <w:b w:val="1"/>
          <w:rtl w:val="0"/>
        </w:rPr>
        <w:t xml:space="preserve"> emissions from 1850 by high emitter, including LULUCF</w:t>
      </w:r>
    </w:p>
    <w:p w:rsidR="00000000" w:rsidDel="00000000" w:rsidP="00000000" w:rsidRDefault="00000000" w:rsidRPr="00000000" w14:paraId="00000081">
      <w:pPr>
        <w:rPr>
          <w:b w:val="1"/>
          <w:sz w:val="22"/>
          <w:szCs w:val="22"/>
        </w:rPr>
      </w:pPr>
      <w:r w:rsidDel="00000000" w:rsidR="00000000" w:rsidRPr="00000000">
        <w:rPr>
          <w:rtl w:val="0"/>
        </w:rPr>
      </w:r>
    </w:p>
    <w:p w:rsidR="00000000" w:rsidDel="00000000" w:rsidP="00000000" w:rsidRDefault="00000000" w:rsidRPr="00000000" w14:paraId="00000082">
      <w:pPr>
        <w:rPr>
          <w:b w:val="1"/>
          <w:sz w:val="22"/>
          <w:szCs w:val="22"/>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2870200"/>
            <wp:effectExtent b="0" l="0" r="0" t="0"/>
            <wp:docPr id="2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870200"/>
                    </a:xfrm>
                    <a:prstGeom prst="rect"/>
                    <a:ln/>
                  </pic:spPr>
                </pic:pic>
              </a:graphicData>
            </a:graphic>
          </wp:inline>
        </w:drawing>
      </w:r>
      <w:r w:rsidDel="00000000" w:rsidR="00000000" w:rsidRPr="00000000">
        <w:rPr/>
        <w:drawing>
          <wp:inline distB="114300" distT="114300" distL="114300" distR="114300">
            <wp:extent cx="5731200" cy="28702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2870200"/>
            <wp:effectExtent b="0" l="0" r="0" t="0"/>
            <wp:docPr id="2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2870200"/>
            <wp:effectExtent b="0" l="0" r="0" t="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2870200"/>
            <wp:effectExtent b="0" l="0" r="0" t="0"/>
            <wp:docPr id="1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1200" cy="2870200"/>
            <wp:effectExtent b="0" l="0" r="0" t="0"/>
            <wp:docPr id="2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2870200"/>
            <wp:effectExtent b="0" l="0" r="0" t="0"/>
            <wp:docPr id="2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2870200"/>
            <wp:effectExtent b="0" l="0" r="0" t="0"/>
            <wp:docPr id="1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31200" cy="2870200"/>
            <wp:effectExtent b="0" l="0" r="0" t="0"/>
            <wp:docPr id="2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28702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1200" cy="2870200"/>
            <wp:effectExtent b="0" l="0" r="0" t="0"/>
            <wp:docPr id="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31200" cy="2870200"/>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2870200"/>
            <wp:effectExtent b="0" l="0" r="0" t="0"/>
            <wp:docPr id="1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2870200"/>
            <wp:effectExtent b="0" l="0" r="0" t="0"/>
            <wp:docPr id="1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2870200"/>
            <wp:effectExtent b="0" l="0" r="0" t="0"/>
            <wp:docPr id="2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2870200"/>
            <wp:effectExtent b="0" l="0" r="0" t="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2870200"/>
            <wp:effectExtent b="0" l="0" r="0" t="0"/>
            <wp:docPr id="2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2870200"/>
            <wp:effectExtent b="0" l="0" r="0" t="0"/>
            <wp:docPr id="3"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2870200"/>
            <wp:effectExtent b="0" l="0" r="0" t="0"/>
            <wp:docPr id="23"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2870200"/>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240" w:lineRule="auto"/>
    </w:pPr>
    <w:rPr>
      <w:color w:val="2b6fab"/>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6.png"/><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zenodo.org/records/15059443" TargetMode="External"/><Relationship Id="rId26" Type="http://schemas.openxmlformats.org/officeDocument/2006/relationships/image" Target="media/image18.png"/><Relationship Id="rId25" Type="http://schemas.openxmlformats.org/officeDocument/2006/relationships/image" Target="media/image20.png"/><Relationship Id="rId28" Type="http://schemas.openxmlformats.org/officeDocument/2006/relationships/image" Target="media/image2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zotero.org/google-docs/?115fsT" TargetMode="External"/><Relationship Id="rId29" Type="http://schemas.openxmlformats.org/officeDocument/2006/relationships/image" Target="media/image2.png"/><Relationship Id="rId7" Type="http://schemas.openxmlformats.org/officeDocument/2006/relationships/hyperlink" Target="https://edgar.jrc.ec.europa.eu/" TargetMode="External"/><Relationship Id="rId8" Type="http://schemas.openxmlformats.org/officeDocument/2006/relationships/hyperlink" Target="https://zenodo.org/records/15016289" TargetMode="External"/><Relationship Id="rId31" Type="http://schemas.openxmlformats.org/officeDocument/2006/relationships/image" Target="media/image9.png"/><Relationship Id="rId30" Type="http://schemas.openxmlformats.org/officeDocument/2006/relationships/image" Target="media/image3.png"/><Relationship Id="rId11" Type="http://schemas.openxmlformats.org/officeDocument/2006/relationships/image" Target="media/image21.png"/><Relationship Id="rId33" Type="http://schemas.openxmlformats.org/officeDocument/2006/relationships/image" Target="media/image28.png"/><Relationship Id="rId10" Type="http://schemas.openxmlformats.org/officeDocument/2006/relationships/hyperlink" Target="https://globalcarbonbudget.org/" TargetMode="External"/><Relationship Id="rId32" Type="http://schemas.openxmlformats.org/officeDocument/2006/relationships/image" Target="media/image11.png"/><Relationship Id="rId13" Type="http://schemas.openxmlformats.org/officeDocument/2006/relationships/image" Target="media/image14.png"/><Relationship Id="rId35" Type="http://schemas.openxmlformats.org/officeDocument/2006/relationships/image" Target="media/image24.png"/><Relationship Id="rId12" Type="http://schemas.openxmlformats.org/officeDocument/2006/relationships/image" Target="media/image10.png"/><Relationship Id="rId34" Type="http://schemas.openxmlformats.org/officeDocument/2006/relationships/image" Target="media/image23.png"/><Relationship Id="rId15" Type="http://schemas.openxmlformats.org/officeDocument/2006/relationships/image" Target="media/image8.png"/><Relationship Id="rId37" Type="http://schemas.openxmlformats.org/officeDocument/2006/relationships/image" Target="media/image7.png"/><Relationship Id="rId14" Type="http://schemas.openxmlformats.org/officeDocument/2006/relationships/image" Target="media/image17.png"/><Relationship Id="rId36" Type="http://schemas.openxmlformats.org/officeDocument/2006/relationships/image" Target="media/image27.png"/><Relationship Id="rId17" Type="http://schemas.openxmlformats.org/officeDocument/2006/relationships/image" Target="media/image15.png"/><Relationship Id="rId39" Type="http://schemas.openxmlformats.org/officeDocument/2006/relationships/image" Target="media/image12.png"/><Relationship Id="rId16" Type="http://schemas.openxmlformats.org/officeDocument/2006/relationships/image" Target="media/image25.png"/><Relationship Id="rId38" Type="http://schemas.openxmlformats.org/officeDocument/2006/relationships/image" Target="media/image29.png"/><Relationship Id="rId19" Type="http://schemas.openxmlformats.org/officeDocument/2006/relationships/image" Target="media/image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